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28"/>
          <w:szCs w:val="28"/>
          <w:lang w:val="en-US" w:eastAsia="zh-CN" w:bidi="ar-SA"/>
        </w:rPr>
        <w:t>“诚实守信 做受尊敬的上市公司”投资者保护专项行动</w:t>
      </w:r>
      <w:r>
        <w:rPr>
          <w:rFonts w:hint="eastAsia" w:ascii="Times New Roman" w:hAnsi="Times New Roman" w:eastAsia="仿宋" w:cs="Times New Roman"/>
          <w:b/>
          <w:bCs/>
          <w:kern w:val="2"/>
          <w:sz w:val="28"/>
          <w:szCs w:val="28"/>
          <w:lang w:val="en-US" w:eastAsia="zh-CN" w:bidi="ar-SA"/>
        </w:rPr>
        <w:t>系列宣传文章</w:t>
      </w:r>
    </w:p>
    <w:p>
      <w:pPr>
        <w:spacing w:after="156" w:afterLines="50" w:line="560" w:lineRule="exact"/>
        <w:jc w:val="left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/>
          <w:sz w:val="30"/>
          <w:szCs w:val="30"/>
        </w:rPr>
        <w:t>强化投资人知情权保护</w:t>
      </w:r>
      <w:r>
        <w:rPr>
          <w:rFonts w:hint="eastAsia" w:ascii="黑体" w:hAnsi="黑体" w:eastAsia="黑体"/>
          <w:sz w:val="30"/>
          <w:szCs w:val="30"/>
        </w:rPr>
        <w:t>，</w:t>
      </w:r>
      <w:r>
        <w:rPr>
          <w:rFonts w:ascii="黑体" w:hAnsi="黑体" w:eastAsia="黑体"/>
          <w:sz w:val="30"/>
          <w:szCs w:val="30"/>
        </w:rPr>
        <w:t>持续提升</w:t>
      </w:r>
      <w:r>
        <w:rPr>
          <w:rFonts w:hint="eastAsia" w:ascii="黑体" w:hAnsi="黑体" w:eastAsia="黑体"/>
          <w:sz w:val="30"/>
          <w:szCs w:val="30"/>
        </w:rPr>
        <w:t>投资者</w:t>
      </w:r>
      <w:r>
        <w:rPr>
          <w:rFonts w:ascii="黑体" w:hAnsi="黑体" w:eastAsia="黑体"/>
          <w:sz w:val="30"/>
          <w:szCs w:val="30"/>
        </w:rPr>
        <w:t>关系管理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宝钢股份   董事会秘书室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一、新证券法的变化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2019年底，中国全国人大常委会审议通过了修订后的《中华人民共和国证券法》（以下简称新证券法），并于今年3月起正式实施。法案出台后，公司对此进行了深入的学习和探讨，感到新证券法在“</w:t>
      </w:r>
      <w:r>
        <w:rPr>
          <w:rFonts w:ascii="仿宋" w:hAnsi="仿宋" w:eastAsia="仿宋"/>
          <w:sz w:val="28"/>
          <w:szCs w:val="28"/>
        </w:rPr>
        <w:t>信息披露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ascii="仿宋" w:hAnsi="仿宋" w:eastAsia="仿宋"/>
          <w:sz w:val="28"/>
          <w:szCs w:val="28"/>
        </w:rPr>
        <w:t>和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ascii="仿宋" w:hAnsi="仿宋" w:eastAsia="仿宋"/>
          <w:sz w:val="28"/>
          <w:szCs w:val="28"/>
        </w:rPr>
        <w:t>投资者保护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ascii="仿宋" w:hAnsi="仿宋" w:eastAsia="仿宋"/>
          <w:sz w:val="28"/>
          <w:szCs w:val="28"/>
        </w:rPr>
        <w:t>等方面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提出了更高的要求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“信息披露”在新证券法中单列一章，设定“信息披露义务人”的崭新概念，对信息披露的范围和标准进行拓宽和充实，着重突出了董监高和控股股东在信息披露中的地位、义务和责任，完善了信息披露的基础规则，明确了信息披露的监管方向和重点，重塑信息披露监管体系和监管权，搭建起上市公司信息披露的立体规范模式，发挥信息披露规则的整体效能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同时，新证券法还单设“投资者保护”专章，大幅度提高投资者保护水平：</w:t>
      </w:r>
      <w:r>
        <w:rPr>
          <w:rFonts w:ascii="仿宋" w:hAnsi="仿宋" w:eastAsia="仿宋"/>
          <w:sz w:val="28"/>
          <w:szCs w:val="28"/>
        </w:rPr>
        <w:t>区分普通投资者和专业投资者，有针对性的做出投资者权益保护安排；</w:t>
      </w:r>
      <w:r>
        <w:rPr>
          <w:rFonts w:hint="eastAsia" w:ascii="仿宋" w:hAnsi="仿宋" w:eastAsia="仿宋"/>
          <w:sz w:val="28"/>
          <w:szCs w:val="28"/>
        </w:rPr>
        <w:t>在中国法律上第一次明确规定投资者适当性制度，明确了证券代表人诉讼制度-“默示加入明示退出的制度”，并在“法律责任”章节大幅度提高对违法行为的处罚水平，惩罚的倍数从原来的1-5倍基本上提高到了1-10倍。在证券市场未来采取“宽进严管”政策时，以有力的惩罚措施实现严管的政策目标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这些变化，</w:t>
      </w:r>
      <w:r>
        <w:rPr>
          <w:rFonts w:ascii="仿宋" w:hAnsi="仿宋" w:eastAsia="仿宋"/>
          <w:sz w:val="28"/>
          <w:szCs w:val="28"/>
        </w:rPr>
        <w:t>体现了</w:t>
      </w:r>
      <w:r>
        <w:rPr>
          <w:rFonts w:hint="eastAsia" w:ascii="仿宋" w:hAnsi="仿宋" w:eastAsia="仿宋"/>
          <w:sz w:val="28"/>
          <w:szCs w:val="28"/>
        </w:rPr>
        <w:t>监管机构</w:t>
      </w:r>
      <w:r>
        <w:rPr>
          <w:rFonts w:ascii="仿宋" w:hAnsi="仿宋" w:eastAsia="仿宋"/>
          <w:sz w:val="28"/>
          <w:szCs w:val="28"/>
        </w:rPr>
        <w:t>约束</w:t>
      </w:r>
      <w:r>
        <w:rPr>
          <w:rFonts w:hint="eastAsia" w:ascii="仿宋" w:hAnsi="仿宋" w:eastAsia="仿宋"/>
          <w:sz w:val="28"/>
          <w:szCs w:val="28"/>
        </w:rPr>
        <w:t>上市公司管理层</w:t>
      </w:r>
      <w:r>
        <w:rPr>
          <w:rFonts w:ascii="仿宋" w:hAnsi="仿宋" w:eastAsia="仿宋"/>
          <w:sz w:val="28"/>
          <w:szCs w:val="28"/>
        </w:rPr>
        <w:t>行为</w:t>
      </w:r>
      <w:r>
        <w:rPr>
          <w:rFonts w:hint="eastAsia" w:ascii="仿宋" w:hAnsi="仿宋" w:eastAsia="仿宋"/>
          <w:sz w:val="28"/>
          <w:szCs w:val="28"/>
        </w:rPr>
        <w:t>，强化上市公司信息披露，</w:t>
      </w:r>
      <w:r>
        <w:rPr>
          <w:rFonts w:ascii="仿宋" w:hAnsi="仿宋" w:eastAsia="仿宋"/>
          <w:sz w:val="28"/>
          <w:szCs w:val="28"/>
        </w:rPr>
        <w:t>保护</w:t>
      </w:r>
      <w:r>
        <w:rPr>
          <w:rFonts w:hint="eastAsia" w:ascii="仿宋" w:hAnsi="仿宋" w:eastAsia="仿宋"/>
          <w:sz w:val="28"/>
          <w:szCs w:val="28"/>
        </w:rPr>
        <w:t>广大</w:t>
      </w:r>
      <w:r>
        <w:rPr>
          <w:rFonts w:ascii="仿宋" w:hAnsi="仿宋" w:eastAsia="仿宋"/>
          <w:sz w:val="28"/>
          <w:szCs w:val="28"/>
        </w:rPr>
        <w:t>投资者的决心。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二、新证券法下公司的实践</w:t>
      </w:r>
    </w:p>
    <w:p>
      <w:pPr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新证券法的出台，让资本市场看到符合国情又具现实意义的立法进步。公司在认真学习法规的同时，也在检视自身的操作实践，希望持续提升公司信息披露，以及投资者关系管理工作水平。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1.第一时间披露急性事件，保障投资者知情权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宝钢股份多年来一直坚持“公开、公平、公正”的信息披露原则，秉承“告诉投资者真实的故事”的理念，认真、严谨地做好信息披露工作。公司严格按照临时公告和定期报告格式指引的要求进行信息披露，披露的信息内容简要清晰、通俗易懂，有针对性地及时反映公司的真实情况，不虚报、不瞒报，帮助投资者及时了解公司最新情况，增加公司透明度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今年三月，公司某基地发生了生产事故。事故当夜，微博上有了新闻，微信上视频流传，各种议论和猜测充斥网络。面对这一紧急事件，公司高度重视：内部部门连夜梳理了相关情况；董秘室据此并针对外部市场关注点草拟了临时公告，交由公司管理层审阅。次日一早，公司临时公告提交发布，让广大投资人在股市开盘前，就能够通过公司公告了解此次事件的具体影响。这样及时、准确的信息披露，有效平息了市场流言的传播，在保证投资人知情权的同时，也维护了公司股价的稳定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2.定期报告增加自愿性披露，提升投资者阅读体验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做好常规信息披露工作的同时，公司从投资者阅读角度考虑，换位思考，从“提升阅读体验”和“突出重点内容”两个方面着手，在定期报告的编制中持续加大自愿性信息披露。从2013年度报告开始，新增“公司亮点”章节，将年报核心内容进行提取精炼，放在首要章节供投资者了解；从2014年度报告开始，将“一张图看懂年报业绩”加入年报首页，以简明、直白的一张图来介绍公司经营业绩，让投资者一目了然，用最快的速度了解年度经营情况；2019年度报告中，新增了公司与投资者互动交流的总结，回应外部市场对此的关注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未来，公司仍将不断审视定期报告的编制，依据投资者的关切，继续优化改善投资者的阅读体验，帮助公司定期报告信息在资本市场得到更好的理解和推广。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3.坚持高质量的投资者关系互动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以来，受疫情影响，尽管公司均已复工复产，但对于集会、交流接触仍有诸多限制和不便。如何开展今年定期报告发布后的系列投资者关系活动，保障公司与资本市场高质量的沟通交流，成为公司董秘室团队亟需解决的问题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了兼顾疫情防控和投资人沟通感受，公司最终选择了“视频直播+电话会议”的方式召开公司年度业绩发布会。公司董秘室与外部服务商密切合作，确认视频直播细节；同时并事先测试场地和网络保障，确保会场视听效果。</w:t>
      </w:r>
    </w:p>
    <w:p>
      <w:pPr>
        <w:pStyle w:val="10"/>
        <w:ind w:firstLine="560" w:firstLineChars="200"/>
        <w:rPr>
          <w:rFonts w:hAnsi="Times New Roman" w:eastAsia="仿宋_GB2312" w:cs="Times New Roman"/>
          <w:bCs/>
          <w:color w:val="auto"/>
          <w:kern w:val="2"/>
          <w:sz w:val="28"/>
          <w:szCs w:val="28"/>
        </w:rPr>
      </w:pPr>
      <w:r>
        <w:rPr>
          <w:rFonts w:hint="eastAsia" w:hAnsi="Times New Roman" w:eastAsia="仿宋_GB2312" w:cs="Times New Roman"/>
          <w:bCs/>
          <w:color w:val="auto"/>
          <w:kern w:val="2"/>
          <w:sz w:val="28"/>
          <w:szCs w:val="28"/>
        </w:rPr>
        <w:t>4月底公司以视频直播形式召开了业绩发布会，董事长邹继新、总经理侯安贵、</w:t>
      </w:r>
      <w:r>
        <w:rPr>
          <w:rFonts w:hAnsi="Times New Roman" w:eastAsia="仿宋_GB2312" w:cs="Times New Roman"/>
          <w:bCs/>
          <w:color w:val="auto"/>
          <w:kern w:val="2"/>
          <w:sz w:val="28"/>
          <w:szCs w:val="28"/>
        </w:rPr>
        <w:t>财务总监</w:t>
      </w:r>
      <w:r>
        <w:rPr>
          <w:rFonts w:hint="eastAsia" w:hAnsi="Times New Roman" w:eastAsia="仿宋_GB2312" w:cs="Times New Roman"/>
          <w:bCs/>
          <w:color w:val="auto"/>
          <w:kern w:val="2"/>
          <w:sz w:val="28"/>
          <w:szCs w:val="28"/>
        </w:rPr>
        <w:t>兼董事会秘书</w:t>
      </w:r>
      <w:r>
        <w:rPr>
          <w:rFonts w:hAnsi="Times New Roman" w:eastAsia="仿宋_GB2312" w:cs="Times New Roman"/>
          <w:bCs/>
          <w:color w:val="auto"/>
          <w:kern w:val="2"/>
          <w:sz w:val="28"/>
          <w:szCs w:val="28"/>
        </w:rPr>
        <w:t>王娟</w:t>
      </w:r>
      <w:r>
        <w:rPr>
          <w:rFonts w:hint="eastAsia" w:hAnsi="Times New Roman" w:eastAsia="仿宋_GB2312" w:cs="Times New Roman"/>
          <w:bCs/>
          <w:color w:val="auto"/>
          <w:kern w:val="2"/>
          <w:sz w:val="28"/>
          <w:szCs w:val="28"/>
        </w:rPr>
        <w:t>出席会议。此次业绩材料紧扣市场关注的焦点，从业绩解读、宝武合并、环境保护、行业展望等方面进行深入阐述。在互动交流环节，公司管理层回答了长期战略、中期经营、短期业绩等方面的多个问题。整场会议历时2小时，过程紧凑，信息量巨大，得到了参会者的一致好评。</w:t>
      </w:r>
    </w:p>
    <w:p>
      <w:pPr>
        <w:pStyle w:val="10"/>
        <w:ind w:firstLine="560" w:firstLineChars="200"/>
        <w:rPr>
          <w:rFonts w:hAnsi="Times New Roman" w:eastAsia="仿宋_GB2312" w:cs="Times New Roman"/>
          <w:bCs/>
          <w:color w:val="auto"/>
          <w:kern w:val="2"/>
          <w:sz w:val="28"/>
          <w:szCs w:val="28"/>
        </w:rPr>
      </w:pPr>
      <w:r>
        <w:rPr>
          <w:rFonts w:hint="eastAsia" w:hAnsi="Times New Roman" w:eastAsia="仿宋_GB2312" w:cs="Times New Roman"/>
          <w:bCs/>
          <w:color w:val="auto"/>
          <w:kern w:val="2"/>
          <w:sz w:val="28"/>
          <w:szCs w:val="28"/>
        </w:rPr>
        <w:t>这是公司首次尝试视频直播发布业绩，取得了良好的效果，覆盖面较过去的现场模式有大幅的提升。经统计,业绩发布当天，网络直播点击量1036人次，截至5月8日，网络直播页面回看累计8000人次。</w:t>
      </w:r>
    </w:p>
    <w:p>
      <w:pPr>
        <w:pStyle w:val="10"/>
        <w:ind w:firstLine="560" w:firstLineChars="200"/>
      </w:pPr>
      <w:r>
        <w:rPr>
          <w:rFonts w:hint="eastAsia" w:hAnsi="Times New Roman" w:eastAsia="仿宋_GB2312" w:cs="Times New Roman"/>
          <w:bCs/>
          <w:color w:val="auto"/>
          <w:kern w:val="2"/>
          <w:sz w:val="28"/>
          <w:szCs w:val="28"/>
        </w:rPr>
        <w:t>此外，视频直播也提升了公司员工对业绩发布的参与感，使他们有机会身临其境聆听公司管理层对于行业、公司的思考，不少员工对此给出了很好的评价。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pStyle w:val="10"/>
        <w:ind w:firstLine="560" w:firstLineChars="200"/>
        <w:rPr>
          <w:rFonts w:hAnsi="Times New Roman" w:eastAsia="仿宋_GB2312" w:cs="Times New Roman"/>
          <w:bCs/>
          <w:color w:val="auto"/>
          <w:kern w:val="2"/>
          <w:sz w:val="28"/>
          <w:szCs w:val="28"/>
        </w:rPr>
      </w:pPr>
      <w:r>
        <w:rPr>
          <w:rFonts w:hint="eastAsia" w:hAnsi="Times New Roman" w:eastAsia="仿宋_GB2312" w:cs="Times New Roman"/>
          <w:bCs/>
          <w:color w:val="auto"/>
          <w:kern w:val="2"/>
          <w:sz w:val="28"/>
          <w:szCs w:val="28"/>
        </w:rPr>
        <w:t>随着新证券法的实施，中国资本市场改革向纵深推进，未来资本市场的投资</w:t>
      </w:r>
      <w:r>
        <w:rPr>
          <w:rFonts w:hAnsi="Times New Roman" w:eastAsia="仿宋_GB2312" w:cs="Times New Roman"/>
          <w:bCs/>
          <w:color w:val="auto"/>
          <w:kern w:val="2"/>
          <w:sz w:val="28"/>
          <w:szCs w:val="28"/>
        </w:rPr>
        <w:t>理念也将趋于成熟和多元</w:t>
      </w:r>
      <w:r>
        <w:rPr>
          <w:rFonts w:hint="eastAsia" w:hAnsi="Times New Roman" w:eastAsia="仿宋_GB2312" w:cs="Times New Roman"/>
          <w:bCs/>
          <w:color w:val="auto"/>
          <w:kern w:val="2"/>
          <w:sz w:val="28"/>
          <w:szCs w:val="28"/>
        </w:rPr>
        <w:t>。届时，宝钢股份这样的周期性基础材料公司，凭借绩优和高分红等特性，有望得到更加合理的估值。公司将继续强化信息披露和投资者关系工作，完善和优化公司治理；蓄势待发、应时而动，早日迎来公司估值的春天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67"/>
    <w:rsid w:val="00007C79"/>
    <w:rsid w:val="00016062"/>
    <w:rsid w:val="000430BC"/>
    <w:rsid w:val="000600A2"/>
    <w:rsid w:val="00065366"/>
    <w:rsid w:val="00074CCA"/>
    <w:rsid w:val="0010251D"/>
    <w:rsid w:val="001109A9"/>
    <w:rsid w:val="00122A1C"/>
    <w:rsid w:val="0015104E"/>
    <w:rsid w:val="001745CA"/>
    <w:rsid w:val="0020292D"/>
    <w:rsid w:val="00240BAE"/>
    <w:rsid w:val="00246B7A"/>
    <w:rsid w:val="002C5A1B"/>
    <w:rsid w:val="002D744E"/>
    <w:rsid w:val="002E618C"/>
    <w:rsid w:val="00344128"/>
    <w:rsid w:val="00345E74"/>
    <w:rsid w:val="00366A80"/>
    <w:rsid w:val="00380308"/>
    <w:rsid w:val="004116E7"/>
    <w:rsid w:val="00446FF3"/>
    <w:rsid w:val="004511C2"/>
    <w:rsid w:val="00477239"/>
    <w:rsid w:val="004B0442"/>
    <w:rsid w:val="004E3382"/>
    <w:rsid w:val="004E7BC5"/>
    <w:rsid w:val="00520D4E"/>
    <w:rsid w:val="005619AB"/>
    <w:rsid w:val="005B4C1B"/>
    <w:rsid w:val="005D0B44"/>
    <w:rsid w:val="005D4AC3"/>
    <w:rsid w:val="005D4F49"/>
    <w:rsid w:val="00636769"/>
    <w:rsid w:val="00693522"/>
    <w:rsid w:val="006D4B24"/>
    <w:rsid w:val="006F6D4F"/>
    <w:rsid w:val="00704110"/>
    <w:rsid w:val="00750427"/>
    <w:rsid w:val="00763481"/>
    <w:rsid w:val="007665E5"/>
    <w:rsid w:val="007C478E"/>
    <w:rsid w:val="008149BE"/>
    <w:rsid w:val="008606E6"/>
    <w:rsid w:val="00871D36"/>
    <w:rsid w:val="00872D7B"/>
    <w:rsid w:val="008D54AE"/>
    <w:rsid w:val="00955CB2"/>
    <w:rsid w:val="009C5E50"/>
    <w:rsid w:val="00A52BEF"/>
    <w:rsid w:val="00A7064F"/>
    <w:rsid w:val="00A729FC"/>
    <w:rsid w:val="00AC5441"/>
    <w:rsid w:val="00AC54B9"/>
    <w:rsid w:val="00AE33DA"/>
    <w:rsid w:val="00B0618A"/>
    <w:rsid w:val="00B56A99"/>
    <w:rsid w:val="00B8309C"/>
    <w:rsid w:val="00BC3E91"/>
    <w:rsid w:val="00BC5B6A"/>
    <w:rsid w:val="00C578C5"/>
    <w:rsid w:val="00C63C10"/>
    <w:rsid w:val="00C66EE1"/>
    <w:rsid w:val="00C95732"/>
    <w:rsid w:val="00D04A71"/>
    <w:rsid w:val="00D17F67"/>
    <w:rsid w:val="00D85FE7"/>
    <w:rsid w:val="00DB4F02"/>
    <w:rsid w:val="00DC27A2"/>
    <w:rsid w:val="00DD07F0"/>
    <w:rsid w:val="00E67889"/>
    <w:rsid w:val="00E964A8"/>
    <w:rsid w:val="00E96ADA"/>
    <w:rsid w:val="00ED387F"/>
    <w:rsid w:val="00F5756E"/>
    <w:rsid w:val="00FB60E5"/>
    <w:rsid w:val="00FC7546"/>
    <w:rsid w:val="00FE7D0E"/>
    <w:rsid w:val="0C0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316</Words>
  <Characters>1804</Characters>
  <Lines>15</Lines>
  <Paragraphs>4</Paragraphs>
  <TotalTime>0</TotalTime>
  <ScaleCrop>false</ScaleCrop>
  <LinksUpToDate>false</LinksUpToDate>
  <CharactersWithSpaces>2116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2020-05-11T11:32:00Z</dcterms:created>
  <dc:creator>70017</dc:creator>
  <cp:lastModifiedBy>csrc</cp:lastModifiedBy>
  <cp:lastPrinted>2020-05-11T13:48:00Z</cp:lastPrinted>
  <dcterms:modified xsi:type="dcterms:W3CDTF">2020-05-21T01:07:41Z</dcterms:modified>
  <dc:title>“诚实守信 做受尊敬的上市公司”投资者保护专项行动系列宣传文章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